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24"/>
          <w:szCs w:val="24"/>
        </w:rPr>
      </w:pPr>
      <w:r>
        <w:rPr>
          <w:rFonts w:hint="eastAsia" w:ascii="宋体" w:hAnsi="宋体" w:cs="宋体"/>
          <w:b/>
          <w:bCs/>
          <w:sz w:val="24"/>
          <w:szCs w:val="24"/>
        </w:rPr>
        <w:t>荔湾区海南联社自来水改造工程和截污纳管不同槽部分路面恢复工程代建</w:t>
      </w:r>
    </w:p>
    <w:p>
      <w:pPr>
        <w:spacing w:line="360" w:lineRule="auto"/>
        <w:jc w:val="center"/>
        <w:rPr>
          <w:rFonts w:ascii="宋体" w:cs="Times New Roman"/>
          <w:b/>
          <w:bCs/>
          <w:sz w:val="28"/>
          <w:szCs w:val="28"/>
        </w:rPr>
      </w:pPr>
      <w:r>
        <w:rPr>
          <w:rFonts w:hint="eastAsia" w:ascii="宋体" w:hAnsi="宋体" w:cs="宋体"/>
          <w:b/>
          <w:bCs/>
          <w:sz w:val="24"/>
          <w:szCs w:val="24"/>
        </w:rPr>
        <w:t>询比公告</w:t>
      </w:r>
    </w:p>
    <w:p>
      <w:pPr>
        <w:spacing w:line="360" w:lineRule="auto"/>
        <w:ind w:firstLine="480" w:firstLineChars="200"/>
        <w:rPr>
          <w:rFonts w:ascii="宋体" w:cs="Times New Roman"/>
          <w:sz w:val="24"/>
          <w:szCs w:val="24"/>
        </w:rPr>
      </w:pPr>
      <w:bookmarkStart w:id="1" w:name="_GoBack"/>
      <w:bookmarkEnd w:id="1"/>
      <w:r>
        <w:rPr>
          <w:rFonts w:hint="eastAsia" w:ascii="宋体" w:hAnsi="宋体" w:cs="宋体"/>
          <w:sz w:val="24"/>
          <w:szCs w:val="24"/>
        </w:rPr>
        <w:t>为更好地择优选取</w:t>
      </w:r>
      <w:r>
        <w:rPr>
          <w:rFonts w:hint="eastAsia" w:ascii="宋体" w:hAnsi="宋体" w:cs="宋体"/>
          <w:sz w:val="24"/>
          <w:szCs w:val="24"/>
          <w:u w:val="single"/>
        </w:rPr>
        <w:t>荔湾区海南联社自来水改造工程和截污纳管不同槽部分路面恢复工程代建服务</w:t>
      </w:r>
      <w:r>
        <w:rPr>
          <w:rFonts w:hint="eastAsia" w:ascii="宋体" w:hAnsi="宋体" w:cs="宋体"/>
          <w:sz w:val="24"/>
          <w:szCs w:val="24"/>
        </w:rPr>
        <w:t>单位，现广州市荔湾区人民政府中南街道办事处进行公开询比，在报价并符合要求的企业内选取一家承办单位，</w:t>
      </w:r>
      <w:bookmarkStart w:id="0" w:name="EBf5670e6d291445918fbaeeb8f3e1df8e"/>
      <w:r>
        <w:rPr>
          <w:rFonts w:hint="eastAsia" w:ascii="宋体" w:hAnsi="宋体" w:cs="宋体"/>
          <w:sz w:val="24"/>
          <w:szCs w:val="24"/>
        </w:rPr>
        <w:t>欢迎符合资格条件的意向人参加报价。</w:t>
      </w:r>
      <w:bookmarkEnd w:id="0"/>
    </w:p>
    <w:p>
      <w:pPr>
        <w:spacing w:line="360" w:lineRule="auto"/>
        <w:rPr>
          <w:rFonts w:ascii="宋体" w:hAnsi="宋体" w:cs="宋体"/>
          <w:b/>
          <w:bCs/>
          <w:sz w:val="24"/>
          <w:szCs w:val="24"/>
        </w:rPr>
      </w:pPr>
      <w:r>
        <w:rPr>
          <w:rFonts w:hint="eastAsia" w:ascii="宋体" w:hAnsi="宋体" w:cs="宋体"/>
          <w:b/>
          <w:bCs/>
          <w:sz w:val="24"/>
          <w:szCs w:val="24"/>
        </w:rPr>
        <w:t>一.项目概况</w:t>
      </w:r>
    </w:p>
    <w:p>
      <w:pPr>
        <w:spacing w:line="360" w:lineRule="auto"/>
        <w:ind w:firstLine="480" w:firstLineChars="200"/>
        <w:rPr>
          <w:rFonts w:ascii="宋体" w:hAnsi="宋体" w:cs="宋体"/>
          <w:sz w:val="24"/>
          <w:szCs w:val="24"/>
        </w:rPr>
      </w:pPr>
      <w:r>
        <w:rPr>
          <w:rFonts w:hint="eastAsia" w:ascii="宋体" w:hAnsi="宋体" w:cs="宋体"/>
          <w:sz w:val="24"/>
          <w:szCs w:val="24"/>
        </w:rPr>
        <w:t>1.1询比项目名称：</w:t>
      </w:r>
      <w:r>
        <w:rPr>
          <w:rFonts w:hint="eastAsia" w:ascii="宋体" w:hAnsi="宋体" w:cs="宋体"/>
          <w:sz w:val="24"/>
          <w:szCs w:val="24"/>
          <w:u w:val="single"/>
        </w:rPr>
        <w:t>荔湾区海南联社自来水改造工程和截污纳管不同槽部分路面恢复工程代建</w:t>
      </w:r>
    </w:p>
    <w:p>
      <w:pPr>
        <w:spacing w:line="360" w:lineRule="auto"/>
        <w:ind w:firstLine="480" w:firstLineChars="200"/>
        <w:rPr>
          <w:rFonts w:ascii="宋体" w:hAnsi="宋体" w:cs="宋体"/>
          <w:sz w:val="24"/>
          <w:szCs w:val="24"/>
        </w:rPr>
      </w:pPr>
      <w:r>
        <w:rPr>
          <w:rFonts w:hint="eastAsia" w:ascii="宋体" w:hAnsi="宋体" w:cs="宋体"/>
          <w:sz w:val="24"/>
          <w:szCs w:val="24"/>
        </w:rPr>
        <w:t>1.2建设地点：荔湾区中南街海南联社</w:t>
      </w:r>
    </w:p>
    <w:p>
      <w:pPr>
        <w:spacing w:line="360" w:lineRule="auto"/>
        <w:ind w:firstLine="480" w:firstLineChars="200"/>
        <w:rPr>
          <w:rFonts w:ascii="宋体" w:hAnsi="宋体" w:cs="宋体"/>
          <w:sz w:val="24"/>
          <w:szCs w:val="24"/>
        </w:rPr>
      </w:pPr>
      <w:r>
        <w:rPr>
          <w:rFonts w:hint="eastAsia" w:ascii="宋体" w:hAnsi="宋体" w:cs="宋体"/>
          <w:sz w:val="24"/>
          <w:szCs w:val="24"/>
        </w:rPr>
        <w:t>1.3项目概况：</w:t>
      </w:r>
      <w:r>
        <w:rPr>
          <w:rFonts w:hint="eastAsia" w:ascii="宋体" w:hAnsi="宋体"/>
          <w:sz w:val="24"/>
          <w:u w:val="single"/>
        </w:rPr>
        <w:t>对荔湾区中南街海南联社范围内开展自来水改造工程和截污纳管施工，尚未恢复不同槽部分路面进行恢复</w:t>
      </w:r>
      <w:r>
        <w:rPr>
          <w:rFonts w:ascii="宋体" w:hAnsi="宋体"/>
          <w:sz w:val="24"/>
          <w:u w:val="single"/>
        </w:rPr>
        <w:t>。</w:t>
      </w:r>
    </w:p>
    <w:p>
      <w:pPr>
        <w:spacing w:line="360" w:lineRule="auto"/>
        <w:ind w:firstLine="480" w:firstLineChars="200"/>
        <w:rPr>
          <w:rFonts w:ascii="宋体" w:cs="Times New Roman"/>
          <w:sz w:val="24"/>
          <w:szCs w:val="24"/>
        </w:rPr>
      </w:pPr>
      <w:r>
        <w:rPr>
          <w:rFonts w:hint="eastAsia" w:ascii="宋体" w:hAnsi="宋体" w:cs="宋体"/>
          <w:sz w:val="24"/>
          <w:szCs w:val="24"/>
        </w:rPr>
        <w:t>1.4项目总投资及资金来源：项目总投资</w:t>
      </w:r>
      <w:r>
        <w:rPr>
          <w:rFonts w:hint="eastAsia" w:ascii="宋体" w:hAnsi="宋体" w:cs="宋体"/>
          <w:sz w:val="24"/>
          <w:szCs w:val="24"/>
          <w:u w:val="single"/>
        </w:rPr>
        <w:t>989.22</w:t>
      </w:r>
      <w:r>
        <w:rPr>
          <w:rFonts w:hint="eastAsia" w:ascii="宋体" w:hAnsi="宋体" w:cs="宋体"/>
          <w:sz w:val="24"/>
          <w:szCs w:val="24"/>
        </w:rPr>
        <w:t>万元，其中建安费约</w:t>
      </w:r>
      <w:r>
        <w:rPr>
          <w:rFonts w:hint="eastAsia" w:ascii="宋体" w:hAnsi="宋体" w:cs="宋体"/>
          <w:sz w:val="24"/>
          <w:szCs w:val="24"/>
          <w:u w:val="single"/>
        </w:rPr>
        <w:t>866</w:t>
      </w:r>
      <w:r>
        <w:rPr>
          <w:rFonts w:hint="eastAsia" w:ascii="宋体" w:hAnsi="宋体" w:cs="宋体"/>
          <w:sz w:val="24"/>
          <w:szCs w:val="24"/>
        </w:rPr>
        <w:t>万元。项目由区财政出资。</w:t>
      </w:r>
    </w:p>
    <w:p>
      <w:pPr>
        <w:spacing w:line="360" w:lineRule="auto"/>
        <w:rPr>
          <w:rFonts w:ascii="宋体" w:cs="Times New Roman"/>
          <w:b/>
          <w:bCs/>
          <w:sz w:val="24"/>
          <w:szCs w:val="24"/>
        </w:rPr>
      </w:pPr>
      <w:r>
        <w:rPr>
          <w:rFonts w:hint="eastAsia" w:ascii="宋体" w:hAnsi="宋体" w:cs="宋体"/>
          <w:b/>
          <w:bCs/>
          <w:sz w:val="24"/>
          <w:szCs w:val="24"/>
        </w:rPr>
        <w:t>二</w:t>
      </w:r>
      <w:r>
        <w:rPr>
          <w:rFonts w:ascii="宋体" w:hAnsi="宋体" w:cs="宋体"/>
          <w:b/>
          <w:bCs/>
          <w:sz w:val="24"/>
          <w:szCs w:val="24"/>
        </w:rPr>
        <w:t>.</w:t>
      </w:r>
      <w:r>
        <w:rPr>
          <w:rFonts w:hint="eastAsia" w:ascii="宋体" w:hAnsi="宋体" w:cs="宋体"/>
          <w:b/>
          <w:bCs/>
          <w:sz w:val="24"/>
          <w:szCs w:val="24"/>
        </w:rPr>
        <w:t>服务内容及质量</w:t>
      </w:r>
    </w:p>
    <w:p>
      <w:pPr>
        <w:spacing w:line="360" w:lineRule="auto"/>
        <w:ind w:firstLine="480" w:firstLineChars="200"/>
        <w:rPr>
          <w:rFonts w:ascii="宋体" w:cs="Times New Roman"/>
          <w:sz w:val="24"/>
          <w:szCs w:val="24"/>
        </w:rPr>
      </w:pPr>
      <w:r>
        <w:rPr>
          <w:rFonts w:hint="eastAsia" w:ascii="宋体" w:hAnsi="宋体" w:cs="宋体"/>
          <w:sz w:val="24"/>
          <w:szCs w:val="24"/>
        </w:rPr>
        <w:t>2.1服务内容</w:t>
      </w:r>
    </w:p>
    <w:p>
      <w:pPr>
        <w:spacing w:line="360" w:lineRule="auto"/>
        <w:ind w:firstLine="480" w:firstLineChars="200"/>
        <w:rPr>
          <w:rFonts w:ascii="宋体" w:cs="Times New Roman"/>
          <w:kern w:val="0"/>
          <w:sz w:val="24"/>
          <w:szCs w:val="24"/>
        </w:rPr>
      </w:pPr>
      <w:r>
        <w:rPr>
          <w:rFonts w:hint="eastAsia" w:ascii="宋体" w:hAnsi="宋体" w:cs="宋体"/>
          <w:kern w:val="0"/>
          <w:sz w:val="24"/>
          <w:szCs w:val="24"/>
        </w:rPr>
        <w:t>自中标人取得中标通知书开始，直到项目竣工验收、竣工决算、移交和保修期满的建设全过程代建管理服务工作。包括勘察设计、规划报建、监理、施工、设备材料、招标投标等实施过程中建设管理工作及各种手续的报审管理工作，并对项目的工期进度、投资、质量安全等进行有效的管理和控制。</w:t>
      </w:r>
    </w:p>
    <w:p>
      <w:pPr>
        <w:spacing w:line="360" w:lineRule="auto"/>
        <w:ind w:firstLine="480" w:firstLineChars="200"/>
        <w:rPr>
          <w:rFonts w:ascii="宋体" w:cs="Times New Roman"/>
          <w:kern w:val="0"/>
          <w:sz w:val="24"/>
          <w:szCs w:val="24"/>
        </w:rPr>
      </w:pPr>
      <w:r>
        <w:rPr>
          <w:rFonts w:hint="eastAsia" w:ascii="宋体" w:hAnsi="宋体" w:cs="宋体"/>
          <w:kern w:val="0"/>
          <w:sz w:val="24"/>
          <w:szCs w:val="24"/>
        </w:rPr>
        <w:t>2.2服务期限：建设管理（代建）期限从建设管理（代建）合同签订之日起计，至项目通过工程竣工验收及缺陷责任期满并完成资产确权和移交的全部建设管理服务工作止</w:t>
      </w:r>
      <w:r>
        <w:rPr>
          <w:rFonts w:hint="eastAsia" w:ascii="宋体" w:hAnsi="宋体" w:cs="宋体"/>
          <w:sz w:val="24"/>
          <w:szCs w:val="24"/>
        </w:rPr>
        <w:t>。</w:t>
      </w:r>
    </w:p>
    <w:p>
      <w:pPr>
        <w:spacing w:line="360" w:lineRule="auto"/>
        <w:ind w:firstLine="482" w:firstLineChars="200"/>
        <w:rPr>
          <w:rFonts w:ascii="宋体" w:cs="Times New Roman"/>
          <w:sz w:val="24"/>
          <w:szCs w:val="24"/>
        </w:rPr>
      </w:pPr>
      <w:r>
        <w:rPr>
          <w:rFonts w:hint="eastAsia" w:ascii="宋体" w:hAnsi="宋体" w:cs="宋体"/>
          <w:b/>
          <w:sz w:val="24"/>
          <w:szCs w:val="24"/>
        </w:rPr>
        <w:t>具体的服务内容以合同相关约定为准。</w:t>
      </w:r>
    </w:p>
    <w:p>
      <w:pPr>
        <w:spacing w:line="360" w:lineRule="auto"/>
        <w:rPr>
          <w:rFonts w:ascii="宋体" w:cs="Times New Roman"/>
          <w:b/>
          <w:bCs/>
          <w:sz w:val="24"/>
          <w:szCs w:val="24"/>
        </w:rPr>
      </w:pPr>
      <w:r>
        <w:rPr>
          <w:rFonts w:hint="eastAsia" w:ascii="宋体" w:hAnsi="宋体" w:cs="宋体"/>
          <w:b/>
          <w:bCs/>
          <w:sz w:val="24"/>
          <w:szCs w:val="24"/>
        </w:rPr>
        <w:t>三.报价人资格要求</w:t>
      </w:r>
    </w:p>
    <w:p>
      <w:pPr>
        <w:spacing w:line="360" w:lineRule="auto"/>
        <w:ind w:firstLine="480" w:firstLineChars="200"/>
        <w:textAlignment w:val="top"/>
        <w:rPr>
          <w:rFonts w:ascii="宋体" w:cs="Times New Roman"/>
          <w:sz w:val="24"/>
          <w:szCs w:val="24"/>
        </w:rPr>
      </w:pPr>
      <w:r>
        <w:rPr>
          <w:rFonts w:hint="eastAsia" w:ascii="宋体" w:hAnsi="宋体" w:cs="宋体"/>
          <w:sz w:val="24"/>
          <w:szCs w:val="24"/>
        </w:rPr>
        <w:t>3.1具有独立法人资格，持有有效的工商行政管理部门核发的法人营业执照，</w:t>
      </w:r>
      <w:r>
        <w:rPr>
          <w:rFonts w:hint="eastAsia" w:ascii="宋体" w:hAnsi="宋体" w:cs="宋体"/>
          <w:color w:val="000000"/>
          <w:sz w:val="24"/>
          <w:szCs w:val="24"/>
        </w:rPr>
        <w:t>或各级登记管理机关颁发的事业单位法人证书，</w:t>
      </w:r>
      <w:r>
        <w:rPr>
          <w:rFonts w:hint="eastAsia" w:ascii="宋体" w:hAnsi="宋体" w:cs="宋体"/>
          <w:sz w:val="24"/>
          <w:szCs w:val="24"/>
        </w:rPr>
        <w:t>按国家法律经营；</w:t>
      </w:r>
    </w:p>
    <w:p>
      <w:pPr>
        <w:spacing w:line="360" w:lineRule="auto"/>
        <w:ind w:firstLine="480" w:firstLineChars="200"/>
        <w:textAlignment w:val="top"/>
        <w:rPr>
          <w:rFonts w:ascii="宋体" w:hAnsi="宋体" w:cs="宋体"/>
          <w:sz w:val="24"/>
          <w:szCs w:val="24"/>
        </w:rPr>
      </w:pPr>
      <w:r>
        <w:rPr>
          <w:rFonts w:hint="eastAsia" w:ascii="宋体" w:hAnsi="宋体" w:cs="宋体"/>
          <w:sz w:val="24"/>
          <w:szCs w:val="24"/>
        </w:rPr>
        <w:t>3.2具有与项目内容相适应的工程勘察、设计、施工、监理、造价咨询中一项或多项资质，</w:t>
      </w:r>
      <w:r>
        <w:rPr>
          <w:rFonts w:hint="eastAsia" w:ascii="宋体" w:hAnsi="宋体"/>
          <w:sz w:val="24"/>
        </w:rPr>
        <w:t>以上资质必须在有效期限内</w:t>
      </w:r>
      <w:r>
        <w:rPr>
          <w:rFonts w:hint="eastAsia" w:ascii="宋体" w:hAnsi="宋体" w:cs="宋体"/>
          <w:sz w:val="24"/>
          <w:szCs w:val="24"/>
        </w:rPr>
        <w:t>。</w:t>
      </w:r>
    </w:p>
    <w:p>
      <w:pPr>
        <w:spacing w:line="360" w:lineRule="auto"/>
        <w:ind w:firstLine="480" w:firstLineChars="200"/>
        <w:textAlignment w:val="top"/>
        <w:rPr>
          <w:rFonts w:ascii="宋体" w:hAnsi="宋体" w:cs="宋体"/>
          <w:sz w:val="24"/>
          <w:szCs w:val="24"/>
          <w:highlight w:val="yellow"/>
        </w:rPr>
      </w:pPr>
      <w:r>
        <w:rPr>
          <w:rFonts w:hint="eastAsia" w:ascii="宋体" w:hAnsi="宋体" w:cs="宋体"/>
          <w:sz w:val="24"/>
          <w:szCs w:val="24"/>
        </w:rPr>
        <w:t>3.3自201</w:t>
      </w:r>
      <w:r>
        <w:rPr>
          <w:rFonts w:hint="eastAsia" w:hAnsi="宋体" w:cs="宋体"/>
          <w:sz w:val="24"/>
          <w:szCs w:val="24"/>
        </w:rPr>
        <w:t>5</w:t>
      </w:r>
      <w:r>
        <w:rPr>
          <w:rFonts w:hint="eastAsia" w:ascii="宋体" w:hAnsi="宋体" w:cs="宋体"/>
          <w:sz w:val="24"/>
          <w:szCs w:val="24"/>
        </w:rPr>
        <w:t>年1月1日至今承接过类似工程（类似工程是指代建或代业主项目管理），需同时提供中标通知书、合同</w:t>
      </w:r>
      <w:r>
        <w:rPr>
          <w:rFonts w:hint="eastAsia" w:hAnsi="宋体" w:cs="宋体"/>
          <w:sz w:val="24"/>
          <w:szCs w:val="24"/>
        </w:rPr>
        <w:t>协议书、竣工验收报告复印件</w:t>
      </w:r>
      <w:r>
        <w:rPr>
          <w:rFonts w:hint="eastAsia" w:ascii="宋体" w:hAnsi="宋体" w:cs="宋体"/>
          <w:sz w:val="24"/>
          <w:szCs w:val="24"/>
        </w:rPr>
        <w:t>，业绩的时间以</w:t>
      </w:r>
      <w:r>
        <w:rPr>
          <w:rFonts w:hint="eastAsia" w:hAnsi="宋体" w:cs="宋体"/>
          <w:sz w:val="24"/>
          <w:szCs w:val="24"/>
        </w:rPr>
        <w:t>竣工验收</w:t>
      </w:r>
      <w:r>
        <w:rPr>
          <w:rFonts w:hint="eastAsia" w:ascii="宋体" w:hAnsi="宋体" w:cs="宋体"/>
          <w:sz w:val="24"/>
          <w:szCs w:val="24"/>
        </w:rPr>
        <w:t>时间为准。</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rPr>
        <w:t>3.4拟派担任本工程的项目负责人，具有《二级（或一级）建造师（市政公用工程专业）》、《注册监理工程师注册执业证书》（市政公用工程专业）、《造价工程师注</w:t>
      </w:r>
      <w:r>
        <w:rPr>
          <w:rFonts w:hint="eastAsia" w:ascii="宋体" w:hAnsi="宋体" w:cs="宋体"/>
          <w:sz w:val="24"/>
          <w:szCs w:val="24"/>
          <w:highlight w:val="none"/>
        </w:rPr>
        <w:t>册证书》或《一级造价工程师注册证书》；需提供项目负责人的注册证书。</w:t>
      </w:r>
    </w:p>
    <w:p>
      <w:pPr>
        <w:spacing w:line="360" w:lineRule="auto"/>
        <w:ind w:firstLine="480" w:firstLineChars="200"/>
        <w:textAlignment w:val="top"/>
        <w:rPr>
          <w:rFonts w:ascii="宋体" w:cs="Times New Roman"/>
          <w:sz w:val="24"/>
          <w:szCs w:val="24"/>
          <w:highlight w:val="none"/>
        </w:rPr>
      </w:pPr>
      <w:r>
        <w:rPr>
          <w:rFonts w:hint="eastAsia" w:ascii="宋体" w:hAnsi="宋体" w:cs="宋体"/>
          <w:sz w:val="24"/>
          <w:szCs w:val="24"/>
          <w:highlight w:val="none"/>
        </w:rPr>
        <w:t>3.5本次询比不接受联合体形式的报价。</w:t>
      </w:r>
    </w:p>
    <w:p>
      <w:pPr>
        <w:spacing w:line="360" w:lineRule="auto"/>
        <w:textAlignment w:val="top"/>
        <w:rPr>
          <w:rFonts w:ascii="宋体" w:cs="Times New Roman"/>
          <w:sz w:val="24"/>
          <w:szCs w:val="24"/>
          <w:highlight w:val="none"/>
        </w:rPr>
      </w:pPr>
      <w:r>
        <w:rPr>
          <w:rFonts w:hint="eastAsia" w:ascii="宋体" w:hAnsi="宋体" w:cs="宋体"/>
          <w:b/>
          <w:bCs/>
          <w:sz w:val="24"/>
          <w:szCs w:val="24"/>
          <w:highlight w:val="none"/>
        </w:rPr>
        <w:t>四</w:t>
      </w:r>
      <w:r>
        <w:rPr>
          <w:rFonts w:ascii="宋体" w:hAnsi="宋体" w:cs="宋体"/>
          <w:b/>
          <w:bCs/>
          <w:sz w:val="24"/>
          <w:szCs w:val="24"/>
          <w:highlight w:val="none"/>
        </w:rPr>
        <w:t>.</w:t>
      </w:r>
      <w:r>
        <w:rPr>
          <w:rFonts w:hint="eastAsia" w:ascii="宋体" w:hAnsi="宋体" w:cs="宋体"/>
          <w:b/>
          <w:bCs/>
          <w:sz w:val="24"/>
          <w:szCs w:val="24"/>
          <w:highlight w:val="none"/>
        </w:rPr>
        <w:t>服务费用计取</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4.1最高报价限价：</w:t>
      </w:r>
      <w:r>
        <w:rPr>
          <w:rFonts w:hint="eastAsia" w:ascii="宋体" w:hAnsi="宋体" w:cs="宋体"/>
          <w:sz w:val="24"/>
          <w:szCs w:val="24"/>
          <w:highlight w:val="none"/>
          <w:u w:val="single"/>
        </w:rPr>
        <w:t>17.32</w:t>
      </w:r>
      <w:r>
        <w:rPr>
          <w:rFonts w:hint="eastAsia" w:ascii="宋体" w:hAnsi="宋体" w:cs="宋体"/>
          <w:sz w:val="24"/>
          <w:szCs w:val="24"/>
          <w:highlight w:val="none"/>
        </w:rPr>
        <w:t>万</w:t>
      </w:r>
      <w:r>
        <w:rPr>
          <w:rFonts w:hint="eastAsia" w:ascii="宋体" w:hAnsi="宋体" w:cs="宋体"/>
          <w:kern w:val="0"/>
          <w:sz w:val="24"/>
          <w:szCs w:val="24"/>
          <w:highlight w:val="none"/>
        </w:rPr>
        <w:t>元</w:t>
      </w:r>
      <w:r>
        <w:rPr>
          <w:rFonts w:hint="eastAsia" w:ascii="宋体" w:hAnsi="宋体" w:cs="宋体"/>
          <w:sz w:val="24"/>
          <w:szCs w:val="24"/>
          <w:highlight w:val="none"/>
        </w:rPr>
        <w:t>。</w:t>
      </w:r>
    </w:p>
    <w:p>
      <w:pPr>
        <w:spacing w:line="360" w:lineRule="auto"/>
        <w:ind w:firstLine="480" w:firstLineChars="200"/>
        <w:textAlignment w:val="top"/>
        <w:rPr>
          <w:rFonts w:ascii="宋体" w:cs="Times New Roman"/>
          <w:sz w:val="24"/>
          <w:szCs w:val="24"/>
          <w:highlight w:val="none"/>
        </w:rPr>
      </w:pPr>
      <w:r>
        <w:rPr>
          <w:rFonts w:hint="eastAsia" w:ascii="宋体" w:hAnsi="宋体" w:cs="宋体"/>
          <w:sz w:val="24"/>
          <w:szCs w:val="24"/>
          <w:highlight w:val="none"/>
        </w:rPr>
        <w:t>4.2报价要求：各报价单位在报价文件中明确下浮率，代建服务收费按代建服务收费基准价乘以（</w:t>
      </w:r>
      <w:r>
        <w:rPr>
          <w:rFonts w:ascii="宋体" w:hAnsi="宋体" w:cs="宋体"/>
          <w:sz w:val="24"/>
          <w:szCs w:val="24"/>
          <w:highlight w:val="none"/>
        </w:rPr>
        <w:t>1-</w:t>
      </w:r>
      <w:r>
        <w:rPr>
          <w:rFonts w:hint="eastAsia" w:ascii="宋体" w:hAnsi="宋体" w:cs="宋体"/>
          <w:sz w:val="24"/>
          <w:szCs w:val="24"/>
          <w:highlight w:val="none"/>
        </w:rPr>
        <w:t>下浮率）进行计取。</w:t>
      </w:r>
    </w:p>
    <w:p>
      <w:pPr>
        <w:spacing w:line="360" w:lineRule="auto"/>
        <w:ind w:firstLine="480" w:firstLineChars="200"/>
        <w:textAlignment w:val="top"/>
        <w:rPr>
          <w:rFonts w:ascii="宋体" w:cs="Times New Roman"/>
          <w:sz w:val="24"/>
          <w:szCs w:val="24"/>
          <w:highlight w:val="none"/>
        </w:rPr>
      </w:pPr>
      <w:r>
        <w:rPr>
          <w:rFonts w:hint="eastAsia" w:ascii="宋体" w:hAnsi="宋体" w:cs="宋体"/>
          <w:sz w:val="24"/>
          <w:szCs w:val="24"/>
          <w:highlight w:val="none"/>
        </w:rPr>
        <w:t>4.3代建服务费结算最终以相关单位评审结果为计费基数，按投标下浮率下浮后结算。</w:t>
      </w:r>
    </w:p>
    <w:p>
      <w:pPr>
        <w:pStyle w:val="6"/>
        <w:numPr>
          <w:ilvl w:val="255"/>
          <w:numId w:val="0"/>
        </w:numPr>
        <w:spacing w:line="360" w:lineRule="auto"/>
        <w:rPr>
          <w:rFonts w:ascii="宋体" w:cs="Times New Roman"/>
          <w:b/>
          <w:bCs/>
          <w:color w:val="FF0000"/>
          <w:sz w:val="24"/>
          <w:szCs w:val="24"/>
          <w:highlight w:val="none"/>
        </w:rPr>
      </w:pPr>
      <w:r>
        <w:rPr>
          <w:rFonts w:hint="eastAsia" w:ascii="宋体" w:hAnsi="宋体" w:cs="宋体"/>
          <w:b/>
          <w:bCs/>
          <w:sz w:val="24"/>
          <w:szCs w:val="24"/>
          <w:highlight w:val="none"/>
        </w:rPr>
        <w:t>五</w:t>
      </w:r>
      <w:r>
        <w:rPr>
          <w:rFonts w:ascii="宋体" w:hAnsi="宋体" w:cs="宋体"/>
          <w:b/>
          <w:bCs/>
          <w:sz w:val="24"/>
          <w:szCs w:val="24"/>
          <w:highlight w:val="none"/>
        </w:rPr>
        <w:t>.</w:t>
      </w:r>
      <w:r>
        <w:rPr>
          <w:rFonts w:hint="eastAsia" w:ascii="宋体" w:hAnsi="宋体" w:cs="宋体"/>
          <w:b/>
          <w:bCs/>
          <w:sz w:val="24"/>
          <w:szCs w:val="24"/>
          <w:highlight w:val="none"/>
        </w:rPr>
        <w:t>询比代理服务费支付</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本项目招标代理服务费按按照国家计委《招标代理服务收费管理暂行办法》【</w:t>
      </w:r>
      <w:r>
        <w:rPr>
          <w:rFonts w:ascii="宋体" w:hAnsi="宋体" w:cs="宋体"/>
          <w:sz w:val="24"/>
          <w:szCs w:val="24"/>
          <w:highlight w:val="none"/>
        </w:rPr>
        <w:t xml:space="preserve">2002】1980号及《国家发展改革委办公厅关于招标代理服务收费有关问题的通知》（发改办价格〔2003〕857 </w:t>
      </w:r>
      <w:r>
        <w:rPr>
          <w:rFonts w:hint="eastAsia" w:ascii="宋体" w:hAnsi="宋体" w:cs="宋体"/>
          <w:sz w:val="24"/>
          <w:szCs w:val="24"/>
          <w:highlight w:val="none"/>
        </w:rPr>
        <w:t>号）及《国家发展改革委关于降低部分建设项目收费标准规范收费行为等有关问题的通知》（发改价格</w:t>
      </w:r>
      <w:r>
        <w:rPr>
          <w:rFonts w:ascii="宋体" w:hAnsi="宋体" w:cs="宋体"/>
          <w:sz w:val="24"/>
          <w:szCs w:val="24"/>
          <w:highlight w:val="none"/>
        </w:rPr>
        <w:t>[2011]534号）文件中规定的相应类别计费标准收取。以中标价为计费基数，由中选单位在</w:t>
      </w:r>
      <w:r>
        <w:rPr>
          <w:rFonts w:hint="eastAsia" w:ascii="宋体" w:hAnsi="宋体" w:cs="宋体"/>
          <w:sz w:val="24"/>
          <w:szCs w:val="24"/>
          <w:highlight w:val="none"/>
        </w:rPr>
        <w:t>收取中选通知书（或委托书）时一次性支付给询比代理机构。</w:t>
      </w:r>
    </w:p>
    <w:p>
      <w:pPr>
        <w:pStyle w:val="6"/>
        <w:numPr>
          <w:ilvl w:val="255"/>
          <w:numId w:val="0"/>
        </w:numPr>
        <w:spacing w:line="360" w:lineRule="auto"/>
        <w:rPr>
          <w:rFonts w:ascii="宋体" w:hAnsi="宋体" w:cs="宋体"/>
          <w:b/>
          <w:bCs/>
          <w:sz w:val="24"/>
          <w:szCs w:val="24"/>
          <w:highlight w:val="none"/>
        </w:rPr>
      </w:pPr>
      <w:r>
        <w:rPr>
          <w:rFonts w:hint="eastAsia" w:ascii="宋体" w:hAnsi="宋体" w:cs="宋体"/>
          <w:b/>
          <w:bCs/>
          <w:sz w:val="24"/>
          <w:szCs w:val="24"/>
          <w:highlight w:val="none"/>
        </w:rPr>
        <w:t>六.投标登记及领取询比文件、报价文件递交截止时间、开标时间及地点</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6.1  投标登记和领取询比文件时间：符合资格条件的潜在投标人可在2020年12月3日9时30分至2020年12月7日17时00分，将下述资料的复印件加盖单位公章的扫描件，以电子邮件方式发送至指定邮箱进行登记，邮箱地址：179377533@qq.com。投标登记的同时发放询比文件，询比文件及参考资料500元/份（以转账的方式递交），售后不退。</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6.1.1投标报名表（详见附件）；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6.1.2企业法人营业执照副本复印件（加盖公章）；</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6.1.3法定代表人证明书、法定代表人身份证复印件，授权委托书、受托人身份证复印件；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注：未进行登记的投标人所提交的报价文件，招标人或招标代理机构将拒绝接收。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6.2  报价文件递交截止时间及地点：2020年12月14日14时30分至15时00分，地点：</w:t>
      </w:r>
      <w:r>
        <w:rPr>
          <w:rFonts w:hint="eastAsia" w:ascii="宋体" w:hAnsi="宋体" w:cs="宋体"/>
          <w:sz w:val="24"/>
          <w:szCs w:val="24"/>
          <w:highlight w:val="none"/>
          <w:u w:val="single"/>
        </w:rPr>
        <w:t>广州市越秀区先烈中路83号凯城华庭306室</w:t>
      </w:r>
      <w:r>
        <w:rPr>
          <w:rFonts w:hint="eastAsia" w:ascii="宋体" w:hAnsi="宋体" w:cs="宋体"/>
          <w:sz w:val="24"/>
          <w:szCs w:val="24"/>
          <w:highlight w:val="none"/>
        </w:rPr>
        <w:t>。逾期送达的或未送达指定地点的报价文件，招标人不予受理。</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6.3  开标时间及地点：2020年12月14日15时00分，地点：</w:t>
      </w:r>
      <w:r>
        <w:rPr>
          <w:rFonts w:hint="eastAsia" w:ascii="宋体" w:hAnsi="宋体" w:cs="宋体"/>
          <w:sz w:val="24"/>
          <w:szCs w:val="24"/>
          <w:highlight w:val="none"/>
          <w:u w:val="single"/>
        </w:rPr>
        <w:t>广州市越秀区先烈中路83号凯城华庭306室</w:t>
      </w:r>
      <w:r>
        <w:rPr>
          <w:rFonts w:hint="eastAsia" w:ascii="宋体" w:hAnsi="宋体" w:cs="宋体"/>
          <w:sz w:val="24"/>
          <w:szCs w:val="24"/>
          <w:highlight w:val="none"/>
        </w:rPr>
        <w:t>。</w:t>
      </w:r>
    </w:p>
    <w:p>
      <w:pPr>
        <w:pStyle w:val="2"/>
        <w:rPr>
          <w:highlight w:val="none"/>
        </w:rPr>
      </w:pPr>
    </w:p>
    <w:p>
      <w:pPr>
        <w:adjustRightInd w:val="0"/>
        <w:snapToGrid w:val="0"/>
        <w:spacing w:line="360" w:lineRule="auto"/>
        <w:rPr>
          <w:rFonts w:ascii="宋体" w:cs="Times New Roman"/>
          <w:b/>
          <w:bCs/>
          <w:sz w:val="24"/>
          <w:szCs w:val="24"/>
          <w:highlight w:val="none"/>
        </w:rPr>
      </w:pPr>
      <w:r>
        <w:rPr>
          <w:rFonts w:hint="eastAsia" w:ascii="宋体" w:hAnsi="宋体" w:cs="宋体"/>
          <w:b/>
          <w:bCs/>
          <w:sz w:val="24"/>
          <w:szCs w:val="24"/>
          <w:highlight w:val="none"/>
        </w:rPr>
        <w:t>七</w:t>
      </w:r>
      <w:r>
        <w:rPr>
          <w:rFonts w:ascii="宋体" w:hAnsi="宋体" w:cs="宋体"/>
          <w:b/>
          <w:bCs/>
          <w:sz w:val="24"/>
          <w:szCs w:val="24"/>
          <w:highlight w:val="none"/>
        </w:rPr>
        <w:t>.</w:t>
      </w:r>
      <w:r>
        <w:rPr>
          <w:rFonts w:hint="eastAsia" w:ascii="宋体" w:hAnsi="宋体" w:cs="宋体"/>
          <w:b/>
          <w:bCs/>
          <w:sz w:val="24"/>
          <w:szCs w:val="24"/>
          <w:highlight w:val="none"/>
        </w:rPr>
        <w:t>询比人不承担报价人参加本次报价活动所发生的任何费用。询比人因故取消或中止询比活动，报价人无条件服从，因报价活动产生的费用报价人自行负责。</w:t>
      </w:r>
    </w:p>
    <w:p>
      <w:pPr>
        <w:adjustRightInd w:val="0"/>
        <w:snapToGrid w:val="0"/>
        <w:spacing w:line="360" w:lineRule="auto"/>
        <w:rPr>
          <w:rFonts w:ascii="宋体" w:cs="Times New Roman"/>
          <w:b/>
          <w:bCs/>
          <w:sz w:val="24"/>
          <w:szCs w:val="24"/>
          <w:highlight w:val="none"/>
        </w:rPr>
      </w:pPr>
      <w:r>
        <w:rPr>
          <w:rFonts w:hint="eastAsia" w:ascii="宋体" w:hAnsi="宋体" w:cs="宋体"/>
          <w:b/>
          <w:bCs/>
          <w:sz w:val="24"/>
          <w:szCs w:val="24"/>
          <w:highlight w:val="none"/>
        </w:rPr>
        <w:t>八</w:t>
      </w:r>
      <w:r>
        <w:rPr>
          <w:rFonts w:ascii="宋体" w:hAnsi="宋体" w:cs="宋体"/>
          <w:b/>
          <w:bCs/>
          <w:sz w:val="24"/>
          <w:szCs w:val="24"/>
          <w:highlight w:val="none"/>
        </w:rPr>
        <w:t>.</w:t>
      </w:r>
      <w:r>
        <w:rPr>
          <w:rFonts w:hint="eastAsia" w:ascii="宋体" w:hAnsi="宋体" w:cs="宋体"/>
          <w:b/>
          <w:bCs/>
          <w:sz w:val="24"/>
          <w:szCs w:val="24"/>
          <w:highlight w:val="none"/>
        </w:rPr>
        <w:t>询比人将在中国采购与招标网及广州穗峰建设工程监理有限公司网上发布中选结果，中选公示期为</w:t>
      </w:r>
      <w:r>
        <w:rPr>
          <w:rFonts w:ascii="宋体" w:hAnsi="宋体" w:cs="宋体"/>
          <w:b/>
          <w:bCs/>
          <w:sz w:val="24"/>
          <w:szCs w:val="24"/>
          <w:highlight w:val="none"/>
        </w:rPr>
        <w:t>1</w:t>
      </w:r>
      <w:r>
        <w:rPr>
          <w:rFonts w:hint="eastAsia" w:ascii="宋体" w:hAnsi="宋体" w:cs="宋体"/>
          <w:b/>
          <w:bCs/>
          <w:sz w:val="24"/>
          <w:szCs w:val="24"/>
          <w:highlight w:val="none"/>
        </w:rPr>
        <w:t>天。</w:t>
      </w:r>
    </w:p>
    <w:p>
      <w:pPr>
        <w:adjustRightInd w:val="0"/>
        <w:snapToGrid w:val="0"/>
        <w:spacing w:line="360" w:lineRule="auto"/>
        <w:rPr>
          <w:rFonts w:ascii="宋体" w:cs="Times New Roman"/>
          <w:b/>
          <w:bCs/>
          <w:sz w:val="24"/>
          <w:szCs w:val="24"/>
          <w:highlight w:val="none"/>
        </w:rPr>
      </w:pPr>
      <w:r>
        <w:rPr>
          <w:rFonts w:hint="eastAsia" w:ascii="宋体" w:hAnsi="宋体" w:cs="宋体"/>
          <w:b/>
          <w:bCs/>
          <w:sz w:val="24"/>
          <w:szCs w:val="24"/>
          <w:highlight w:val="none"/>
        </w:rPr>
        <w:t>九</w:t>
      </w:r>
      <w:r>
        <w:rPr>
          <w:rFonts w:ascii="宋体" w:hAnsi="宋体" w:cs="宋体"/>
          <w:b/>
          <w:bCs/>
          <w:sz w:val="24"/>
          <w:szCs w:val="24"/>
          <w:highlight w:val="none"/>
        </w:rPr>
        <w:t>.</w:t>
      </w:r>
      <w:r>
        <w:rPr>
          <w:rFonts w:hint="eastAsia" w:ascii="宋体" w:hAnsi="宋体" w:cs="宋体"/>
          <w:b/>
          <w:bCs/>
          <w:sz w:val="24"/>
          <w:szCs w:val="24"/>
          <w:highlight w:val="none"/>
        </w:rPr>
        <w:t>广州市荔湾区人民政府中南街道办事处对公告及询比文件有最终解释权。</w:t>
      </w:r>
    </w:p>
    <w:p>
      <w:pPr>
        <w:adjustRightInd w:val="0"/>
        <w:snapToGrid w:val="0"/>
        <w:spacing w:line="360" w:lineRule="auto"/>
        <w:rPr>
          <w:rFonts w:ascii="宋体" w:cs="Times New Roman"/>
          <w:b/>
          <w:bCs/>
          <w:sz w:val="24"/>
          <w:szCs w:val="24"/>
          <w:highlight w:val="none"/>
        </w:rPr>
      </w:pPr>
      <w:r>
        <w:rPr>
          <w:rFonts w:hint="eastAsia" w:ascii="宋体" w:hAnsi="宋体" w:cs="宋体"/>
          <w:b/>
          <w:bCs/>
          <w:sz w:val="24"/>
          <w:szCs w:val="24"/>
          <w:highlight w:val="none"/>
        </w:rPr>
        <w:t>十</w:t>
      </w:r>
      <w:r>
        <w:rPr>
          <w:rFonts w:ascii="宋体" w:hAnsi="宋体" w:cs="宋体"/>
          <w:b/>
          <w:bCs/>
          <w:sz w:val="24"/>
          <w:szCs w:val="24"/>
          <w:highlight w:val="none"/>
        </w:rPr>
        <w:t>.</w:t>
      </w:r>
      <w:r>
        <w:rPr>
          <w:rFonts w:hint="eastAsia" w:ascii="宋体" w:hAnsi="宋体" w:cs="宋体"/>
          <w:b/>
          <w:bCs/>
          <w:sz w:val="24"/>
          <w:szCs w:val="24"/>
          <w:highlight w:val="none"/>
        </w:rPr>
        <w:t>联系方式：</w:t>
      </w:r>
    </w:p>
    <w:p>
      <w:pPr>
        <w:spacing w:line="360" w:lineRule="auto"/>
        <w:ind w:firstLine="480" w:firstLineChars="200"/>
        <w:jc w:val="left"/>
        <w:textAlignment w:val="top"/>
        <w:rPr>
          <w:rFonts w:ascii="宋体" w:hAnsi="宋体" w:cs="宋体"/>
          <w:sz w:val="24"/>
          <w:szCs w:val="24"/>
          <w:highlight w:val="none"/>
        </w:rPr>
      </w:pPr>
      <w:r>
        <w:rPr>
          <w:rFonts w:hint="eastAsia" w:ascii="宋体" w:hAnsi="宋体" w:cs="宋体"/>
          <w:sz w:val="24"/>
          <w:szCs w:val="24"/>
          <w:highlight w:val="none"/>
        </w:rPr>
        <w:t>询比单位：</w:t>
      </w:r>
      <w:r>
        <w:rPr>
          <w:rFonts w:hint="eastAsia" w:ascii="宋体" w:hAnsi="宋体" w:cs="宋体"/>
          <w:sz w:val="24"/>
          <w:szCs w:val="24"/>
          <w:highlight w:val="none"/>
          <w:u w:val="single"/>
        </w:rPr>
        <w:t>广州市荔湾区人民政府中南街道办事处</w:t>
      </w:r>
    </w:p>
    <w:p>
      <w:pPr>
        <w:spacing w:line="360" w:lineRule="auto"/>
        <w:ind w:firstLine="480" w:firstLineChars="200"/>
        <w:jc w:val="left"/>
        <w:textAlignment w:val="top"/>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highlight w:val="none"/>
          <w:u w:val="single"/>
        </w:rPr>
        <w:t>何小姐</w:t>
      </w:r>
    </w:p>
    <w:p>
      <w:pPr>
        <w:spacing w:line="360" w:lineRule="auto"/>
        <w:ind w:firstLine="480" w:firstLineChars="200"/>
        <w:jc w:val="left"/>
        <w:textAlignment w:val="top"/>
        <w:rPr>
          <w:rFonts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highlight w:val="none"/>
          <w:u w:val="single"/>
        </w:rPr>
        <w:t>020-81502420</w:t>
      </w:r>
    </w:p>
    <w:p>
      <w:pPr>
        <w:spacing w:line="360" w:lineRule="auto"/>
        <w:ind w:firstLine="480" w:firstLineChars="200"/>
        <w:jc w:val="left"/>
        <w:textAlignment w:val="top"/>
        <w:rPr>
          <w:rFonts w:ascii="宋体" w:hAnsi="宋体" w:cs="宋体"/>
          <w:sz w:val="24"/>
          <w:szCs w:val="24"/>
          <w:highlight w:val="none"/>
        </w:rPr>
      </w:pPr>
    </w:p>
    <w:p>
      <w:pPr>
        <w:spacing w:line="360" w:lineRule="auto"/>
        <w:ind w:firstLine="480" w:firstLineChars="200"/>
        <w:jc w:val="left"/>
        <w:textAlignment w:val="top"/>
        <w:rPr>
          <w:rFonts w:ascii="宋体" w:hAnsi="宋体" w:cs="宋体"/>
          <w:sz w:val="24"/>
          <w:szCs w:val="24"/>
          <w:highlight w:val="none"/>
        </w:rPr>
      </w:pPr>
      <w:r>
        <w:rPr>
          <w:rFonts w:hint="eastAsia" w:ascii="宋体" w:hAnsi="宋体" w:cs="宋体"/>
          <w:sz w:val="24"/>
          <w:szCs w:val="24"/>
          <w:highlight w:val="none"/>
        </w:rPr>
        <w:t>询比代理单位：</w:t>
      </w:r>
      <w:r>
        <w:rPr>
          <w:rFonts w:hint="eastAsia" w:ascii="宋体" w:hAnsi="宋体" w:cs="宋体"/>
          <w:sz w:val="24"/>
          <w:szCs w:val="24"/>
          <w:highlight w:val="none"/>
          <w:u w:val="single"/>
        </w:rPr>
        <w:t>广州穗峰建设工程监理有限公司</w:t>
      </w:r>
    </w:p>
    <w:p>
      <w:pPr>
        <w:spacing w:line="360" w:lineRule="auto"/>
        <w:ind w:firstLine="480" w:firstLineChars="200"/>
        <w:jc w:val="left"/>
        <w:textAlignment w:val="top"/>
        <w:rPr>
          <w:rFonts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sz w:val="24"/>
          <w:szCs w:val="24"/>
          <w:highlight w:val="none"/>
          <w:u w:val="single"/>
        </w:rPr>
        <w:t>广州市越秀区先烈中路83号凯城华庭306室</w:t>
      </w:r>
    </w:p>
    <w:p>
      <w:pPr>
        <w:spacing w:line="360" w:lineRule="auto"/>
        <w:ind w:firstLine="480" w:firstLineChars="200"/>
        <w:jc w:val="left"/>
        <w:textAlignment w:val="top"/>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single"/>
        </w:rPr>
        <w:t xml:space="preserve">杨先生         </w:t>
      </w:r>
    </w:p>
    <w:p>
      <w:pPr>
        <w:spacing w:line="360" w:lineRule="auto"/>
        <w:ind w:firstLine="480" w:firstLineChars="200"/>
        <w:jc w:val="left"/>
        <w:textAlignment w:val="top"/>
        <w:rPr>
          <w:rFonts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szCs w:val="24"/>
          <w:highlight w:val="none"/>
          <w:u w:val="single"/>
        </w:rPr>
        <w:t>17818872697</w:t>
      </w:r>
    </w:p>
    <w:p>
      <w:pPr>
        <w:spacing w:line="360" w:lineRule="auto"/>
        <w:ind w:firstLine="480" w:firstLineChars="200"/>
        <w:jc w:val="right"/>
        <w:textAlignment w:val="top"/>
        <w:rPr>
          <w:rFonts w:ascii="宋体" w:cs="Times New Roman"/>
          <w:sz w:val="24"/>
          <w:szCs w:val="24"/>
          <w:highlight w:val="none"/>
        </w:rPr>
      </w:pPr>
    </w:p>
    <w:p>
      <w:pPr>
        <w:spacing w:line="360" w:lineRule="auto"/>
        <w:jc w:val="right"/>
        <w:textAlignment w:val="top"/>
        <w:rPr>
          <w:rFonts w:ascii="宋体" w:cs="Times New Roman"/>
          <w:sz w:val="24"/>
          <w:szCs w:val="24"/>
          <w:highlight w:val="none"/>
          <w:u w:val="single"/>
        </w:rPr>
      </w:pPr>
      <w:r>
        <w:rPr>
          <w:rFonts w:hint="eastAsia" w:ascii="宋体" w:hAnsi="宋体" w:cs="宋体"/>
          <w:sz w:val="24"/>
          <w:szCs w:val="24"/>
          <w:highlight w:val="none"/>
        </w:rPr>
        <w:t>广州市荔湾区人民政府中南街道办事处</w:t>
      </w:r>
    </w:p>
    <w:p>
      <w:pPr>
        <w:spacing w:line="360" w:lineRule="auto"/>
        <w:jc w:val="right"/>
        <w:textAlignment w:val="top"/>
        <w:rPr>
          <w:rFonts w:ascii="宋体" w:hAnsi="宋体" w:cs="宋体"/>
          <w:sz w:val="24"/>
          <w:szCs w:val="24"/>
          <w:highlight w:val="none"/>
        </w:rPr>
      </w:pPr>
      <w:r>
        <w:rPr>
          <w:rFonts w:hint="eastAsia" w:ascii="宋体" w:hAnsi="宋体" w:cs="宋体"/>
          <w:sz w:val="24"/>
          <w:szCs w:val="24"/>
          <w:highlight w:val="none"/>
        </w:rPr>
        <w:t>2020年 12 月 2日</w:t>
      </w:r>
    </w:p>
    <w:p>
      <w:pPr>
        <w:sectPr>
          <w:footerReference r:id="rId3" w:type="default"/>
          <w:pgSz w:w="12240" w:h="15840"/>
          <w:pgMar w:top="1440" w:right="1803" w:bottom="1440" w:left="1800" w:header="720" w:footer="720" w:gutter="0"/>
          <w:pgNumType w:start="1"/>
          <w:cols w:space="720" w:num="1"/>
          <w:docGrid w:linePitch="286" w:charSpace="0"/>
        </w:sectPr>
      </w:pPr>
      <w:r>
        <w:rPr>
          <w:rFonts w:hint="eastAsia" w:ascii="宋体" w:hAnsi="宋体" w:cs="宋体"/>
          <w:sz w:val="24"/>
          <w:szCs w:val="24"/>
          <w:highlight w:val="yellow"/>
        </w:rPr>
        <w:br w:type="page"/>
      </w:r>
    </w:p>
    <w:tbl>
      <w:tblPr>
        <w:tblStyle w:val="4"/>
        <w:tblW w:w="14399" w:type="dxa"/>
        <w:tblInd w:w="-269" w:type="dxa"/>
        <w:tblLayout w:type="fixed"/>
        <w:tblCellMar>
          <w:top w:w="15" w:type="dxa"/>
          <w:left w:w="15" w:type="dxa"/>
          <w:bottom w:w="15" w:type="dxa"/>
          <w:right w:w="15" w:type="dxa"/>
        </w:tblCellMar>
      </w:tblPr>
      <w:tblGrid>
        <w:gridCol w:w="2482"/>
        <w:gridCol w:w="1843"/>
        <w:gridCol w:w="1474"/>
        <w:gridCol w:w="867"/>
        <w:gridCol w:w="719"/>
        <w:gridCol w:w="867"/>
        <w:gridCol w:w="1601"/>
        <w:gridCol w:w="455"/>
        <w:gridCol w:w="1360"/>
        <w:gridCol w:w="1512"/>
        <w:gridCol w:w="1219"/>
      </w:tblGrid>
      <w:tr>
        <w:tblPrEx>
          <w:tblCellMar>
            <w:top w:w="15" w:type="dxa"/>
            <w:left w:w="15" w:type="dxa"/>
            <w:bottom w:w="15" w:type="dxa"/>
            <w:right w:w="15" w:type="dxa"/>
          </w:tblCellMar>
        </w:tblPrEx>
        <w:trPr>
          <w:trHeight w:val="609" w:hRule="atLeast"/>
        </w:trPr>
        <w:tc>
          <w:tcPr>
            <w:tcW w:w="14399" w:type="dxa"/>
            <w:gridSpan w:val="11"/>
            <w:vAlign w:val="center"/>
          </w:tcPr>
          <w:p>
            <w:pPr>
              <w:widowControl/>
              <w:jc w:val="center"/>
              <w:textAlignment w:val="center"/>
              <w:rPr>
                <w:b/>
                <w:color w:val="000000"/>
                <w:sz w:val="48"/>
                <w:szCs w:val="48"/>
              </w:rPr>
            </w:pPr>
            <w:r>
              <w:rPr>
                <w:rFonts w:hint="eastAsia"/>
                <w:b/>
                <w:color w:val="000000"/>
                <w:sz w:val="48"/>
                <w:szCs w:val="48"/>
              </w:rPr>
              <w:t>投标报名表</w:t>
            </w:r>
          </w:p>
        </w:tc>
      </w:tr>
      <w:tr>
        <w:tblPrEx>
          <w:tblCellMar>
            <w:top w:w="15" w:type="dxa"/>
            <w:left w:w="15" w:type="dxa"/>
            <w:bottom w:w="15" w:type="dxa"/>
            <w:right w:w="15" w:type="dxa"/>
          </w:tblCellMar>
        </w:tblPrEx>
        <w:trPr>
          <w:trHeight w:val="758" w:hRule="atLeast"/>
        </w:trPr>
        <w:tc>
          <w:tcPr>
            <w:tcW w:w="2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项目编号</w:t>
            </w:r>
          </w:p>
        </w:tc>
        <w:tc>
          <w:tcPr>
            <w:tcW w:w="7371" w:type="dxa"/>
            <w:gridSpan w:val="6"/>
            <w:tcBorders>
              <w:top w:val="single" w:color="000000" w:sz="4" w:space="0"/>
              <w:left w:val="single" w:color="000000" w:sz="4" w:space="0"/>
              <w:bottom w:val="single" w:color="auto" w:sz="4" w:space="0"/>
              <w:right w:val="single" w:color="000000" w:sz="4" w:space="0"/>
            </w:tcBorders>
            <w:vAlign w:val="center"/>
          </w:tcPr>
          <w:p>
            <w:pPr>
              <w:widowControl/>
              <w:textAlignment w:val="center"/>
              <w:rPr>
                <w:color w:val="000000"/>
                <w:sz w:val="28"/>
                <w:szCs w:val="28"/>
              </w:rPr>
            </w:pPr>
          </w:p>
        </w:tc>
        <w:tc>
          <w:tcPr>
            <w:tcW w:w="3327" w:type="dxa"/>
            <w:gridSpan w:val="3"/>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color w:val="000000"/>
                <w:sz w:val="28"/>
                <w:szCs w:val="28"/>
              </w:rPr>
            </w:pPr>
            <w:r>
              <w:rPr>
                <w:rFonts w:hint="eastAsia"/>
                <w:color w:val="000000"/>
                <w:sz w:val="28"/>
                <w:szCs w:val="28"/>
              </w:rPr>
              <w:t>文件价格（元/套）</w:t>
            </w:r>
          </w:p>
        </w:tc>
        <w:tc>
          <w:tcPr>
            <w:tcW w:w="1219" w:type="dxa"/>
            <w:tcBorders>
              <w:top w:val="single" w:color="000000" w:sz="4" w:space="0"/>
              <w:left w:val="single" w:color="auto" w:sz="4" w:space="0"/>
              <w:bottom w:val="single" w:color="auto" w:sz="4" w:space="0"/>
              <w:right w:val="single" w:color="000000" w:sz="4" w:space="0"/>
            </w:tcBorders>
            <w:vAlign w:val="center"/>
          </w:tcPr>
          <w:p>
            <w:pPr>
              <w:widowControl/>
              <w:jc w:val="center"/>
              <w:rPr>
                <w:color w:val="000000"/>
                <w:sz w:val="28"/>
                <w:szCs w:val="28"/>
              </w:rPr>
            </w:pPr>
            <w:r>
              <w:rPr>
                <w:rFonts w:hint="eastAsia"/>
                <w:color w:val="000000"/>
                <w:sz w:val="28"/>
                <w:szCs w:val="28"/>
              </w:rPr>
              <w:t>500</w:t>
            </w:r>
          </w:p>
        </w:tc>
      </w:tr>
      <w:tr>
        <w:tblPrEx>
          <w:tblCellMar>
            <w:top w:w="15" w:type="dxa"/>
            <w:left w:w="15" w:type="dxa"/>
            <w:bottom w:w="15" w:type="dxa"/>
            <w:right w:w="15" w:type="dxa"/>
          </w:tblCellMar>
        </w:tblPrEx>
        <w:trPr>
          <w:trHeight w:val="669" w:hRule="atLeast"/>
        </w:trPr>
        <w:tc>
          <w:tcPr>
            <w:tcW w:w="2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项目名称</w:t>
            </w:r>
          </w:p>
        </w:tc>
        <w:tc>
          <w:tcPr>
            <w:tcW w:w="11917" w:type="dxa"/>
            <w:gridSpan w:val="10"/>
            <w:tcBorders>
              <w:top w:val="single" w:color="auto" w:sz="4" w:space="0"/>
              <w:left w:val="single" w:color="000000" w:sz="4" w:space="0"/>
              <w:bottom w:val="single" w:color="000000" w:sz="4" w:space="0"/>
              <w:right w:val="single" w:color="000000" w:sz="4" w:space="0"/>
            </w:tcBorders>
            <w:vAlign w:val="center"/>
          </w:tcPr>
          <w:p>
            <w:pPr>
              <w:widowControl/>
              <w:jc w:val="center"/>
              <w:rPr>
                <w:color w:val="000000"/>
                <w:sz w:val="28"/>
                <w:szCs w:val="28"/>
              </w:rPr>
            </w:pPr>
          </w:p>
        </w:tc>
      </w:tr>
      <w:tr>
        <w:tblPrEx>
          <w:tblCellMar>
            <w:top w:w="15" w:type="dxa"/>
            <w:left w:w="15" w:type="dxa"/>
            <w:bottom w:w="15" w:type="dxa"/>
            <w:right w:w="15" w:type="dxa"/>
          </w:tblCellMar>
        </w:tblPrEx>
        <w:trPr>
          <w:trHeight w:val="527" w:hRule="atLeast"/>
        </w:trPr>
        <w:tc>
          <w:tcPr>
            <w:tcW w:w="248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购买询比文件</w:t>
            </w:r>
          </w:p>
          <w:p>
            <w:pPr>
              <w:widowControl/>
              <w:jc w:val="center"/>
              <w:textAlignment w:val="center"/>
              <w:rPr>
                <w:color w:val="000000"/>
                <w:sz w:val="28"/>
                <w:szCs w:val="28"/>
              </w:rPr>
            </w:pPr>
            <w:r>
              <w:rPr>
                <w:rFonts w:hint="eastAsia"/>
                <w:color w:val="000000"/>
                <w:sz w:val="28"/>
                <w:szCs w:val="28"/>
              </w:rPr>
              <w:t>单位信息</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单位名称</w:t>
            </w:r>
          </w:p>
        </w:tc>
        <w:tc>
          <w:tcPr>
            <w:tcW w:w="10074" w:type="dxa"/>
            <w:gridSpan w:val="9"/>
            <w:tcBorders>
              <w:top w:val="single" w:color="000000" w:sz="4" w:space="0"/>
              <w:left w:val="single" w:color="000000" w:sz="4" w:space="0"/>
              <w:bottom w:val="single" w:color="000000" w:sz="4" w:space="0"/>
              <w:right w:val="single" w:color="000000" w:sz="4" w:space="0"/>
            </w:tcBorders>
            <w:vAlign w:val="center"/>
          </w:tcPr>
          <w:p>
            <w:pPr>
              <w:widowControl/>
              <w:tabs>
                <w:tab w:val="left" w:pos="615"/>
              </w:tabs>
              <w:rPr>
                <w:color w:val="000000"/>
                <w:sz w:val="28"/>
                <w:szCs w:val="28"/>
              </w:rPr>
            </w:pPr>
          </w:p>
        </w:tc>
      </w:tr>
      <w:tr>
        <w:tblPrEx>
          <w:tblCellMar>
            <w:top w:w="15" w:type="dxa"/>
            <w:left w:w="15" w:type="dxa"/>
            <w:bottom w:w="15" w:type="dxa"/>
            <w:right w:w="15" w:type="dxa"/>
          </w:tblCellMar>
        </w:tblPrEx>
        <w:trPr>
          <w:trHeight w:val="525"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单位地址</w:t>
            </w:r>
          </w:p>
        </w:tc>
        <w:tc>
          <w:tcPr>
            <w:tcW w:w="10074" w:type="dxa"/>
            <w:gridSpan w:val="9"/>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8"/>
                <w:szCs w:val="28"/>
              </w:rPr>
            </w:pPr>
          </w:p>
        </w:tc>
      </w:tr>
      <w:tr>
        <w:tblPrEx>
          <w:tblCellMar>
            <w:top w:w="15" w:type="dxa"/>
            <w:left w:w="15" w:type="dxa"/>
            <w:bottom w:w="15" w:type="dxa"/>
            <w:right w:w="15" w:type="dxa"/>
          </w:tblCellMar>
        </w:tblPrEx>
        <w:trPr>
          <w:trHeight w:val="609"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rPr>
            </w:pPr>
          </w:p>
        </w:tc>
        <w:tc>
          <w:tcPr>
            <w:tcW w:w="184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纳税人识别号</w:t>
            </w:r>
          </w:p>
        </w:tc>
        <w:tc>
          <w:tcPr>
            <w:tcW w:w="5528" w:type="dxa"/>
            <w:gridSpan w:val="5"/>
            <w:tcBorders>
              <w:top w:val="single" w:color="000000" w:sz="4" w:space="0"/>
              <w:left w:val="single" w:color="000000" w:sz="4" w:space="0"/>
              <w:bottom w:val="single" w:color="auto" w:sz="4" w:space="0"/>
              <w:right w:val="single" w:color="000000" w:sz="4" w:space="0"/>
            </w:tcBorders>
            <w:vAlign w:val="center"/>
          </w:tcPr>
          <w:p>
            <w:pPr>
              <w:widowControl/>
              <w:rPr>
                <w:color w:val="000000"/>
                <w:sz w:val="28"/>
                <w:szCs w:val="28"/>
              </w:rPr>
            </w:pPr>
          </w:p>
        </w:tc>
        <w:tc>
          <w:tcPr>
            <w:tcW w:w="1815"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联系电话</w:t>
            </w:r>
          </w:p>
        </w:tc>
        <w:tc>
          <w:tcPr>
            <w:tcW w:w="2731" w:type="dxa"/>
            <w:gridSpan w:val="2"/>
            <w:tcBorders>
              <w:top w:val="single" w:color="000000" w:sz="4" w:space="0"/>
              <w:left w:val="single" w:color="000000" w:sz="4" w:space="0"/>
              <w:bottom w:val="single" w:color="auto" w:sz="4" w:space="0"/>
              <w:right w:val="single" w:color="000000" w:sz="4" w:space="0"/>
            </w:tcBorders>
            <w:vAlign w:val="center"/>
          </w:tcPr>
          <w:p>
            <w:pPr>
              <w:widowControl/>
              <w:rPr>
                <w:color w:val="000000"/>
                <w:sz w:val="28"/>
                <w:szCs w:val="28"/>
              </w:rPr>
            </w:pPr>
          </w:p>
        </w:tc>
      </w:tr>
      <w:tr>
        <w:tblPrEx>
          <w:tblCellMar>
            <w:top w:w="15" w:type="dxa"/>
            <w:left w:w="15" w:type="dxa"/>
            <w:bottom w:w="15" w:type="dxa"/>
            <w:right w:w="15" w:type="dxa"/>
          </w:tblCellMar>
        </w:tblPrEx>
        <w:trPr>
          <w:trHeight w:val="779"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rPr>
            </w:pPr>
          </w:p>
        </w:tc>
        <w:tc>
          <w:tcPr>
            <w:tcW w:w="1843" w:type="dxa"/>
            <w:tcBorders>
              <w:top w:val="single" w:color="auto" w:sz="4" w:space="0"/>
              <w:left w:val="single" w:color="000000" w:sz="4" w:space="0"/>
              <w:bottom w:val="single" w:color="000000" w:sz="4" w:space="0"/>
              <w:right w:val="single" w:color="000000" w:sz="4" w:space="0"/>
            </w:tcBorders>
            <w:vAlign w:val="center"/>
          </w:tcPr>
          <w:p>
            <w:pPr>
              <w:widowControl/>
              <w:tabs>
                <w:tab w:val="left" w:pos="592"/>
              </w:tabs>
              <w:ind w:left="560" w:hanging="560" w:hangingChars="200"/>
              <w:textAlignment w:val="center"/>
              <w:rPr>
                <w:color w:val="000000"/>
                <w:sz w:val="28"/>
                <w:szCs w:val="28"/>
              </w:rPr>
            </w:pPr>
            <w:r>
              <w:rPr>
                <w:rFonts w:hint="eastAsia"/>
                <w:color w:val="000000"/>
                <w:sz w:val="28"/>
                <w:szCs w:val="28"/>
              </w:rPr>
              <w:t>购买询比文件经办人</w:t>
            </w:r>
          </w:p>
        </w:tc>
        <w:tc>
          <w:tcPr>
            <w:tcW w:w="2341" w:type="dxa"/>
            <w:gridSpan w:val="2"/>
            <w:tcBorders>
              <w:top w:val="single" w:color="auto" w:sz="4" w:space="0"/>
              <w:left w:val="single" w:color="000000" w:sz="4" w:space="0"/>
              <w:bottom w:val="single" w:color="000000" w:sz="4" w:space="0"/>
              <w:right w:val="single" w:color="000000" w:sz="4" w:space="0"/>
            </w:tcBorders>
            <w:vAlign w:val="center"/>
          </w:tcPr>
          <w:p>
            <w:pPr>
              <w:widowControl/>
              <w:rPr>
                <w:color w:val="000000"/>
                <w:sz w:val="28"/>
                <w:szCs w:val="28"/>
              </w:rPr>
            </w:pPr>
          </w:p>
        </w:tc>
        <w:tc>
          <w:tcPr>
            <w:tcW w:w="1586"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身份证号码</w:t>
            </w:r>
          </w:p>
        </w:tc>
        <w:tc>
          <w:tcPr>
            <w:tcW w:w="1601" w:type="dxa"/>
            <w:tcBorders>
              <w:top w:val="single" w:color="auto" w:sz="4" w:space="0"/>
              <w:left w:val="single" w:color="000000" w:sz="4" w:space="0"/>
              <w:bottom w:val="single" w:color="000000" w:sz="4" w:space="0"/>
              <w:right w:val="single" w:color="000000" w:sz="4" w:space="0"/>
            </w:tcBorders>
            <w:vAlign w:val="center"/>
          </w:tcPr>
          <w:p>
            <w:pPr>
              <w:widowControl/>
              <w:rPr>
                <w:color w:val="000000"/>
                <w:sz w:val="28"/>
                <w:szCs w:val="28"/>
              </w:rPr>
            </w:pPr>
          </w:p>
        </w:tc>
        <w:tc>
          <w:tcPr>
            <w:tcW w:w="1815"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手机号码</w:t>
            </w:r>
          </w:p>
        </w:tc>
        <w:tc>
          <w:tcPr>
            <w:tcW w:w="2731" w:type="dxa"/>
            <w:gridSpan w:val="2"/>
            <w:tcBorders>
              <w:top w:val="single" w:color="auto" w:sz="4" w:space="0"/>
              <w:left w:val="single" w:color="000000" w:sz="4" w:space="0"/>
              <w:bottom w:val="single" w:color="000000" w:sz="4" w:space="0"/>
              <w:right w:val="single" w:color="000000" w:sz="4" w:space="0"/>
            </w:tcBorders>
            <w:vAlign w:val="center"/>
          </w:tcPr>
          <w:p>
            <w:pPr>
              <w:widowControl/>
              <w:rPr>
                <w:color w:val="000000"/>
                <w:sz w:val="28"/>
                <w:szCs w:val="28"/>
              </w:rPr>
            </w:pPr>
          </w:p>
        </w:tc>
      </w:tr>
      <w:tr>
        <w:tblPrEx>
          <w:tblCellMar>
            <w:top w:w="15" w:type="dxa"/>
            <w:left w:w="15" w:type="dxa"/>
            <w:bottom w:w="15" w:type="dxa"/>
            <w:right w:w="15" w:type="dxa"/>
          </w:tblCellMar>
        </w:tblPrEx>
        <w:trPr>
          <w:trHeight w:val="708"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项目联系人</w:t>
            </w:r>
          </w:p>
        </w:tc>
        <w:tc>
          <w:tcPr>
            <w:tcW w:w="2341" w:type="dxa"/>
            <w:gridSpan w:val="2"/>
            <w:tcBorders>
              <w:top w:val="single" w:color="000000" w:sz="4" w:space="0"/>
              <w:left w:val="single" w:color="000000" w:sz="4" w:space="0"/>
              <w:bottom w:val="single" w:color="000000" w:sz="4" w:space="0"/>
              <w:right w:val="single" w:color="000000" w:sz="4" w:space="0"/>
            </w:tcBorders>
            <w:vAlign w:val="center"/>
          </w:tcPr>
          <w:p>
            <w:pPr>
              <w:widowControl/>
              <w:rPr>
                <w:color w:val="000000"/>
                <w:sz w:val="28"/>
                <w:szCs w:val="28"/>
              </w:rPr>
            </w:pP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身份证号码</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rPr>
                <w:color w:val="000000"/>
                <w:sz w:val="28"/>
                <w:szCs w:val="28"/>
              </w:rPr>
            </w:pP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手机号码</w:t>
            </w:r>
          </w:p>
        </w:tc>
        <w:tc>
          <w:tcPr>
            <w:tcW w:w="2731" w:type="dxa"/>
            <w:gridSpan w:val="2"/>
            <w:tcBorders>
              <w:top w:val="single" w:color="000000" w:sz="4" w:space="0"/>
              <w:left w:val="single" w:color="000000" w:sz="4" w:space="0"/>
              <w:bottom w:val="single" w:color="000000" w:sz="4" w:space="0"/>
              <w:right w:val="single" w:color="000000" w:sz="4" w:space="0"/>
            </w:tcBorders>
            <w:vAlign w:val="center"/>
          </w:tcPr>
          <w:p>
            <w:pPr>
              <w:widowControl/>
              <w:rPr>
                <w:color w:val="000000"/>
                <w:sz w:val="28"/>
                <w:szCs w:val="28"/>
              </w:rPr>
            </w:pPr>
          </w:p>
        </w:tc>
      </w:tr>
      <w:tr>
        <w:tblPrEx>
          <w:tblCellMar>
            <w:top w:w="15" w:type="dxa"/>
            <w:left w:w="15" w:type="dxa"/>
            <w:bottom w:w="15" w:type="dxa"/>
            <w:right w:w="15" w:type="dxa"/>
          </w:tblCellMar>
        </w:tblPrEx>
        <w:trPr>
          <w:trHeight w:val="579" w:hRule="atLeast"/>
        </w:trPr>
        <w:tc>
          <w:tcPr>
            <w:tcW w:w="2482" w:type="dxa"/>
            <w:tcBorders>
              <w:top w:val="single" w:color="000000" w:sz="4" w:space="0"/>
              <w:left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获取询比文件方式</w:t>
            </w:r>
          </w:p>
        </w:tc>
        <w:tc>
          <w:tcPr>
            <w:tcW w:w="1843" w:type="dxa"/>
            <w:tcBorders>
              <w:top w:val="single" w:color="000000" w:sz="4" w:space="0"/>
              <w:left w:val="single" w:color="000000" w:sz="4" w:space="0"/>
              <w:right w:val="single" w:color="000000" w:sz="4" w:space="0"/>
            </w:tcBorders>
            <w:vAlign w:val="center"/>
          </w:tcPr>
          <w:p>
            <w:pPr>
              <w:widowControl/>
              <w:jc w:val="center"/>
              <w:textAlignment w:val="center"/>
              <w:rPr>
                <w:rFonts w:ascii="Wingdings" w:hAnsi="Wingdings" w:cs="Wingdings"/>
                <w:color w:val="000000"/>
                <w:sz w:val="28"/>
                <w:szCs w:val="28"/>
              </w:rPr>
            </w:pPr>
            <w:r>
              <w:rPr>
                <w:rFonts w:hint="eastAsia"/>
                <w:color w:val="000000"/>
                <w:sz w:val="28"/>
                <w:szCs w:val="28"/>
              </w:rPr>
              <w:t>网上购买</w:t>
            </w:r>
          </w:p>
        </w:tc>
        <w:tc>
          <w:tcPr>
            <w:tcW w:w="10074" w:type="dxa"/>
            <w:gridSpan w:val="9"/>
            <w:tcBorders>
              <w:top w:val="single" w:color="000000" w:sz="4" w:space="0"/>
              <w:left w:val="single" w:color="000000" w:sz="4" w:space="0"/>
              <w:bottom w:val="single" w:color="000000" w:sz="4" w:space="0"/>
              <w:right w:val="single" w:color="000000" w:sz="4" w:space="0"/>
            </w:tcBorders>
            <w:vAlign w:val="center"/>
          </w:tcPr>
          <w:p>
            <w:pPr>
              <w:widowControl/>
              <w:textAlignment w:val="center"/>
              <w:rPr>
                <w:b/>
                <w:color w:val="000000"/>
                <w:sz w:val="28"/>
                <w:szCs w:val="28"/>
              </w:rPr>
            </w:pPr>
            <w:r>
              <w:rPr>
                <w:rFonts w:hint="eastAsia"/>
                <w:b/>
                <w:color w:val="000000"/>
                <w:sz w:val="28"/>
                <w:szCs w:val="28"/>
              </w:rPr>
              <w:t>注：询比文件均以电子版形式发送，请正确填写接收</w:t>
            </w:r>
            <w:r>
              <w:rPr>
                <w:rFonts w:hint="eastAsia"/>
                <w:b/>
                <w:color w:val="FF0000"/>
                <w:sz w:val="28"/>
                <w:szCs w:val="28"/>
              </w:rPr>
              <w:t>邮箱</w:t>
            </w:r>
            <w:r>
              <w:rPr>
                <w:rFonts w:hint="eastAsia"/>
                <w:b/>
                <w:color w:val="000000"/>
                <w:sz w:val="28"/>
                <w:szCs w:val="28"/>
              </w:rPr>
              <w:t>：</w:t>
            </w:r>
          </w:p>
        </w:tc>
      </w:tr>
      <w:tr>
        <w:tblPrEx>
          <w:tblCellMar>
            <w:top w:w="15" w:type="dxa"/>
            <w:left w:w="15" w:type="dxa"/>
            <w:bottom w:w="15" w:type="dxa"/>
            <w:right w:w="15" w:type="dxa"/>
          </w:tblCellMar>
        </w:tblPrEx>
        <w:trPr>
          <w:trHeight w:val="615" w:hRule="atLeast"/>
        </w:trPr>
        <w:tc>
          <w:tcPr>
            <w:tcW w:w="2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报名时递交的资料</w:t>
            </w:r>
          </w:p>
        </w:tc>
        <w:tc>
          <w:tcPr>
            <w:tcW w:w="11917" w:type="dxa"/>
            <w:gridSpan w:val="10"/>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8"/>
                <w:szCs w:val="28"/>
              </w:rPr>
            </w:pPr>
            <w:r>
              <w:rPr>
                <w:rFonts w:hint="eastAsia"/>
                <w:color w:val="000000"/>
                <w:sz w:val="28"/>
                <w:szCs w:val="28"/>
              </w:rPr>
              <w:t>已按《询比公告》中资格要求的材料提供齐全，内容详见附件。</w:t>
            </w:r>
          </w:p>
        </w:tc>
      </w:tr>
      <w:tr>
        <w:tblPrEx>
          <w:tblCellMar>
            <w:top w:w="15" w:type="dxa"/>
            <w:left w:w="15" w:type="dxa"/>
            <w:bottom w:w="15" w:type="dxa"/>
            <w:right w:w="15" w:type="dxa"/>
          </w:tblCellMar>
        </w:tblPrEx>
        <w:trPr>
          <w:trHeight w:val="890" w:hRule="atLeast"/>
        </w:trPr>
        <w:tc>
          <w:tcPr>
            <w:tcW w:w="5799" w:type="dxa"/>
            <w:gridSpan w:val="3"/>
            <w:vAlign w:val="center"/>
          </w:tcPr>
          <w:p>
            <w:pPr>
              <w:widowControl/>
              <w:spacing w:line="440" w:lineRule="exact"/>
              <w:rPr>
                <w:b/>
                <w:color w:val="000000"/>
                <w:sz w:val="28"/>
                <w:szCs w:val="28"/>
              </w:rPr>
            </w:pPr>
            <w:r>
              <w:rPr>
                <w:rFonts w:hint="eastAsia"/>
                <w:b/>
                <w:color w:val="000000"/>
                <w:sz w:val="28"/>
                <w:szCs w:val="28"/>
              </w:rPr>
              <w:t xml:space="preserve">购买询比文件经办人签名：   </w:t>
            </w:r>
          </w:p>
          <w:p>
            <w:pPr>
              <w:widowControl/>
              <w:spacing w:line="440" w:lineRule="exact"/>
              <w:rPr>
                <w:b/>
                <w:color w:val="000000"/>
                <w:sz w:val="28"/>
                <w:szCs w:val="28"/>
              </w:rPr>
            </w:pPr>
          </w:p>
        </w:tc>
        <w:tc>
          <w:tcPr>
            <w:tcW w:w="1586" w:type="dxa"/>
            <w:gridSpan w:val="2"/>
            <w:vAlign w:val="center"/>
          </w:tcPr>
          <w:p>
            <w:pPr>
              <w:widowControl/>
              <w:spacing w:line="440" w:lineRule="exact"/>
              <w:rPr>
                <w:b/>
                <w:color w:val="000000"/>
                <w:sz w:val="28"/>
                <w:szCs w:val="28"/>
              </w:rPr>
            </w:pPr>
          </w:p>
        </w:tc>
        <w:tc>
          <w:tcPr>
            <w:tcW w:w="2923" w:type="dxa"/>
            <w:gridSpan w:val="3"/>
            <w:vAlign w:val="center"/>
          </w:tcPr>
          <w:p>
            <w:pPr>
              <w:widowControl/>
              <w:spacing w:line="440" w:lineRule="exact"/>
              <w:rPr>
                <w:color w:val="000000"/>
                <w:sz w:val="28"/>
                <w:szCs w:val="28"/>
              </w:rPr>
            </w:pPr>
          </w:p>
        </w:tc>
        <w:tc>
          <w:tcPr>
            <w:tcW w:w="4091" w:type="dxa"/>
            <w:gridSpan w:val="3"/>
            <w:vAlign w:val="center"/>
          </w:tcPr>
          <w:tbl>
            <w:tblPr>
              <w:tblStyle w:val="4"/>
              <w:tblpPr w:leftFromText="180" w:rightFromText="180" w:vertAnchor="text" w:horzAnchor="page" w:tblpX="447" w:tblpY="-71"/>
              <w:tblOverlap w:val="never"/>
              <w:tblW w:w="5143" w:type="dxa"/>
              <w:tblInd w:w="0" w:type="dxa"/>
              <w:tblLayout w:type="fixed"/>
              <w:tblCellMar>
                <w:top w:w="15" w:type="dxa"/>
                <w:left w:w="15" w:type="dxa"/>
                <w:bottom w:w="15" w:type="dxa"/>
                <w:right w:w="15" w:type="dxa"/>
              </w:tblCellMar>
            </w:tblPr>
            <w:tblGrid>
              <w:gridCol w:w="5143"/>
            </w:tblGrid>
            <w:tr>
              <w:tblPrEx>
                <w:tblCellMar>
                  <w:top w:w="15" w:type="dxa"/>
                  <w:left w:w="15" w:type="dxa"/>
                  <w:bottom w:w="15" w:type="dxa"/>
                  <w:right w:w="15" w:type="dxa"/>
                </w:tblCellMar>
              </w:tblPrEx>
              <w:trPr>
                <w:trHeight w:val="675" w:hRule="atLeast"/>
              </w:trPr>
              <w:tc>
                <w:tcPr>
                  <w:tcW w:w="5143" w:type="dxa"/>
                  <w:vAlign w:val="center"/>
                </w:tcPr>
                <w:p>
                  <w:pPr>
                    <w:widowControl/>
                    <w:spacing w:line="440" w:lineRule="exact"/>
                    <w:ind w:left="-57" w:leftChars="-27" w:firstLine="65" w:firstLineChars="23"/>
                    <w:textAlignment w:val="center"/>
                    <w:rPr>
                      <w:b/>
                      <w:color w:val="000000"/>
                      <w:sz w:val="28"/>
                      <w:szCs w:val="28"/>
                    </w:rPr>
                  </w:pPr>
                  <w:r>
                    <w:rPr>
                      <w:rFonts w:hint="eastAsia"/>
                      <w:b/>
                      <w:color w:val="000000"/>
                      <w:sz w:val="28"/>
                      <w:szCs w:val="28"/>
                    </w:rPr>
                    <w:t>日期：    年   月   日</w:t>
                  </w:r>
                </w:p>
              </w:tc>
            </w:tr>
          </w:tbl>
          <w:p>
            <w:pPr>
              <w:widowControl/>
              <w:spacing w:line="440" w:lineRule="exact"/>
              <w:textAlignment w:val="center"/>
              <w:rPr>
                <w:b/>
                <w:color w:val="000000"/>
                <w:sz w:val="28"/>
                <w:szCs w:val="28"/>
              </w:rPr>
            </w:pPr>
          </w:p>
        </w:tc>
      </w:tr>
    </w:tbl>
    <w:p/>
    <w:sectPr>
      <w:pgSz w:w="16838" w:h="11906" w:orient="landscape"/>
      <w:pgMar w:top="1083" w:right="1440" w:bottom="1083" w:left="1440" w:header="851" w:footer="992"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63C32"/>
    <w:rsid w:val="6D1D5E76"/>
    <w:rsid w:val="6ED6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Times New Roman" w:cs="宋体"/>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_Style 3"/>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2020-12-02T03:34:00Z</dcterms:created>
  <dc:creator>风轻轻的吹</dc:creator>
  <cp:lastModifiedBy>风轻轻的吹</cp:lastModifiedBy>
  <dcterms:modified xsi:type="dcterms:W3CDTF">2020-12-02T03:35:27Z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